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Financial Foundations Checklist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Before It's Urgent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Your own financial foundation. If something happened to you tomorrow, would your family have what they need? Would you? This checklist covers the financial groundwork everyone should have in place — separate from any caregiving role you may also be holding. For insurance specifics, see the Insurance Coverage Review.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YOUR ESTATE PLANNING DOCUMENTS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Will — current and reflects your actual wishes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Healthcare proxy / HCPOA — person named is still the right choice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power of attorney in place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Advance directive / living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Beneficiary designations reviewed on all accounts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Minor children: guardians named in will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Trust for minor children (if applicable)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Documents that need attention: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YOUR FINANCIAL PICTURE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Emergency fund: 3–6 months of expenses accessible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Retirement contributions: maximizing employer match at minimum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Debt: have a plan for high-interest debt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Beneficiary designations on retirement accounts reviewed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Financial advisor on record (if applicable)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Gaps to address: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IF SOMETHING HAPPENED TO YOU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My partner or designated person could locate all accounts and access information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My family knows where my important documents are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My employer benefits (life insurance, disability) are documented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My Digital Asset Inventory is current</w:t>
      </w:r>
    </w:p>
    <w:p>
      <w:pPr>
        <w:spacing w:after="80" w:before="120"/>
      </w:pPr>
      <w:r>
        <w:rPr>
          <w:rFonts w:ascii="Arial" w:cs="Arial" w:eastAsia="Arial" w:hAnsi="Arial"/>
          <w:sz w:val="20"/>
          <w:szCs w:val="20"/>
        </w:rPr>
        <w:t xml:space="preserve">What's missing from this picture: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Completed by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Date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Next review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2026-05-01T01:41:25.852Z</dcterms:created>
  <dcterms:modified xsi:type="dcterms:W3CDTF">2026-05-01T01:41:25.852Z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