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Medication Management Guide</w:t>
      </w:r>
    </w:p>
    <w:p>
      <w:pPr>
        <w:pBdr>
          <w:bottom w:val="single" w:color="000000" w:sz="6" w:space="8"/>
        </w:pBdr>
        <w:spacing w:after="280"/>
      </w:pPr>
      <w:r>
        <w:rPr>
          <w:rFonts w:ascii="Arial" w:cs="Arial" w:eastAsia="Arial" w:hAnsi="Arial"/>
          <w:sz w:val="18"/>
          <w:szCs w:val="18"/>
        </w:rPr>
        <w:t xml:space="preserve">Real-Time Caregiving for Aging Adults   ·   www.nononsenseaging.com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Medication problems are among the most common and most preventable causes of hospitalizations in older adults. This guide walks through the full system — from building the accurate list to making sure it stays accurate after hospitalizations, transitions, and care changes.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1 — BUILD THE COMPLETE MEDICATION LIST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The goal is one accurate, current list covering everything: prescriptions, OTC medications, vitamins, supplements, and herbal products. Every provider needs to know about all of it.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Gather from all sources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Call every pharmacy used — request a complete 6-month medication history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Search the home: medicine cabinet, kitchen counter, bedside table, dresser, purse, car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Photograph every bottle — front and back — compare pharmacy records to what's in the home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What to record for each medication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Brand name AND generic name (Lipitor / Atorvastatin)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Dose, frequency, and timing (20mg, once daily with dinner)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Prescribing doctor and their specialty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Which pharmacy fills it and what it is for, in plain language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Whether it is dangerous to stop suddenly — and if so, what happens. Mark these clearly — care teams sometimes inadvertently discontinue medications during hospitalizations.</w:t>
      </w:r>
    </w:p>
    <w:p>
      <w:pPr>
        <w:spacing w:after="1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Verify with every doctor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Take the reconciled list to the primary care doctor for verification against their records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Bring it to each specialist — ask: is everything still appropriate? Anything to stop, adjust, or add?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2 — CLEAN UP THE SUPPLY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Dispose of expired medications, discontinued prescriptions, wrong-dosage bottles. Most pharmacies have disposal programs; FDA has guidance at fda.gov.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Ask the primary care doctor whether any medications can be combined or switched to once-daily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Consolidate to one pharmacy where possible — one pharmacy can flag interactions; multiple cannot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3 — SET UP THE ROUTINE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Weekly pill organizer in use — morning / noon / evening / bedtime compartments. Fill all four weeks at once; store extra bottles out of easy reach to prevent double-dosing.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Medication times anchored to existing habits — breakfast, dinner, brushing teeth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Reminder system in place: phone alarm, smart speaker, automatic pill dispenser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Automatic pill dispensers ($30–$150) release the correct dose at the correct time and alert caregivers if a dose is missed. For aging adults with complex regimens or memory issues, these are often the most effective solution.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4 — PHARMACY LOGISTICS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maintenance medications enrolled in auto-refill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Med-sync considered — all prescriptions aligned to the same monthly refill date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Mail-order considered for long-term medications — 90-day supply at lower cost per dose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Delivery set up if getting to the pharmacy is a barrier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5 — ADHERENCE PROBLEMS</w:t>
      </w:r>
    </w:p>
    <w:p>
      <w:pPr>
        <w:spacing w:after="120"/>
      </w:pPr>
      <w:r>
        <w:rPr>
          <w:rFonts w:ascii="Arial" w:cs="Arial" w:eastAsia="Arial" w:hAnsi="Arial"/>
          <w:i/>
          <w:iCs/>
          <w:sz w:val="18"/>
          <w:szCs w:val="18"/>
        </w:rPr>
        <w:t xml:space="preserve">If medications are being skipped or stopped, find out why before assuming the aging adult is being difficult.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Cost — ask directly; check GoodRx (goodrx.com), samples, and patient assistance programs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Side effects — bring to the prescribing doctor; alternatives are usually available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Confusion about the regimen — label the organizer or post a simple chart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Decision to stop — if they have capacity, this is their decision; it should be with the doctor's knowledge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STEP 6 — AFTER EVERY HOSPITALIZATION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W w:type="dxa" w:w="1008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Hospital stays almost always result in medication changes. Do not assume the discharge list is correct or complete — it frequently isn't.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</w:rPr>
        <w:t xml:space="preserve"> 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Within 48 hours: compare discharge medication list to pre-admission master list line by line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Note every difference — contact the discharging or primary care doctor about anything unclear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Schedule primary care follow-up within 7 days of discharge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Update the master medication list immediately — change the date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Refill the pill organizer with the corrected regimen</w:t>
      </w:r>
    </w:p>
    <w:p>
      <w:pPr>
        <w:pBdr>
          <w:top w:val="single" w:color="000000" w:sz="6" w:space="8"/>
        </w:pBdr>
        <w:spacing w:after="140" w:before="36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QUARTERLY MEDICATION REVIEW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Master list matches what is in the home and in the organizer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expiration dates checked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All prescriptions on auto-refill or otherwise managed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Primary care doctor asked whether anything can be eliminated or simplified</w:t>
      </w:r>
    </w:p>
    <w:p>
      <w:pPr>
        <w:spacing w:after="80"/>
        <w:ind w:left="280"/>
      </w:pPr>
      <w:r>
        <w:rPr>
          <w:rFonts w:ascii="Arial" w:cs="Arial" w:eastAsia="Arial" w:hAnsi="Arial"/>
          <w:sz w:val="22"/>
          <w:szCs w:val="22"/>
        </w:rPr>
        <w:t xml:space="preserve">☐   </w:t>
      </w:r>
      <w:r>
        <w:rPr>
          <w:rFonts w:ascii="Arial" w:cs="Arial" w:eastAsia="Arial" w:hAnsi="Arial"/>
          <w:sz w:val="20"/>
          <w:szCs w:val="20"/>
        </w:rPr>
        <w:t xml:space="preserve">Date on master list updated — even if nothing changed</w:t>
      </w:r>
    </w:p>
    <w:p>
      <w:pPr>
        <w:spacing w:after="60"/>
      </w:pPr>
      <w:r>
        <w:rPr>
          <w:rFonts w:ascii="Arial" w:cs="Arial" w:eastAsia="Arial" w:hAnsi="Arial"/>
        </w:rPr>
        <w:t xml:space="preserve"> 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7"/>
        <w:gridCol w:w="3326"/>
        <w:gridCol w:w="3327"/>
      </w:tblGrid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Last updated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Updated by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Next quarterly review</w:t>
            </w:r>
          </w:p>
        </w:tc>
      </w:tr>
      <w:tr>
        <w:tc>
          <w:tcPr>
            <w:tcW w:type="dxa" w:w="34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  <w:tc>
          <w:tcPr>
            <w:tcW w:type="dxa" w:w="3327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 </w:t>
            </w:r>
          </w:p>
        </w:tc>
      </w:tr>
    </w:tbl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2026-05-03T16:49:12.768Z</dcterms:created>
  <dcterms:modified xsi:type="dcterms:W3CDTF">2026-05-03T16:49:12.768Z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