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Transportation Planning Worksheet</w:t>
      </w:r>
    </w:p>
    <w:p>
      <w:pPr>
        <w:pBdr>
          <w:bottom w:val="single" w:color="000000" w:sz="6" w:space="8"/>
        </w:pBdr>
        <w:spacing w:after="280"/>
      </w:pPr>
      <w:r>
        <w:rPr>
          <w:rFonts w:ascii="Arial" w:cs="Arial" w:eastAsia="Arial" w:hAnsi="Arial"/>
          <w:sz w:val="18"/>
          <w:szCs w:val="18"/>
        </w:rPr>
        <w:t xml:space="preserve">Real-Time Caregiving for Aging Adults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Use this worksheet to assess the vehicle, manage the ownership and insurance transition, track the disability placard, and map out transportation alternatives. Review whenever the aging adult's mobility or care needs change.</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PART 1 — VEHICLE ASSESSMENT</w:t>
      </w:r>
    </w:p>
    <w:p>
      <w:pPr>
        <w:spacing w:after="120"/>
      </w:pPr>
      <w:r>
        <w:rPr>
          <w:rFonts w:ascii="Arial" w:cs="Arial" w:eastAsia="Arial" w:hAnsi="Arial"/>
          <w:i/>
          <w:iCs/>
          <w:sz w:val="18"/>
          <w:szCs w:val="18"/>
        </w:rPr>
        <w:t xml:space="preserve">Assess the vehicle(s) available for transporting the aging adult. The right vehicle prevents injuries and extends what's possible.</w:t>
      </w:r>
    </w:p>
    <w:p>
      <w:pPr>
        <w:spacing w:after="120" w:before="280"/>
      </w:pPr>
      <w:r>
        <w:rPr>
          <w:rFonts w:ascii="Arial" w:cs="Arial" w:eastAsia="Arial" w:hAnsi="Arial"/>
          <w:b/>
          <w:bCs/>
          <w:sz w:val="22"/>
          <w:szCs w:val="22"/>
        </w:rPr>
        <w:t xml:space="preserve">Vehicle currently used for their transportation</w:t>
      </w:r>
    </w:p>
    <w:p>
      <w:pPr>
        <w:spacing w:after="80" w:before="120"/>
      </w:pPr>
      <w:r>
        <w:rPr>
          <w:rFonts w:ascii="Arial" w:cs="Arial" w:eastAsia="Arial" w:hAnsi="Arial"/>
          <w:sz w:val="20"/>
          <w:szCs w:val="20"/>
        </w:rPr>
        <w:t xml:space="preserve">Make / Model / Year and seat height from ground (inches):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ind w:left="280"/>
      </w:pPr>
      <w:r>
        <w:rPr>
          <w:rFonts w:ascii="Arial" w:cs="Arial" w:eastAsia="Arial" w:hAnsi="Arial"/>
          <w:sz w:val="22"/>
          <w:szCs w:val="22"/>
        </w:rPr>
        <w:t xml:space="preserve">☐   </w:t>
      </w:r>
      <w:r>
        <w:rPr>
          <w:rFonts w:ascii="Arial" w:cs="Arial" w:eastAsia="Arial" w:hAnsi="Arial"/>
          <w:sz w:val="20"/>
          <w:szCs w:val="20"/>
        </w:rPr>
        <w:t xml:space="preserve">Entry and exit observed — no significant struggle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Seat height in the 18–22 inch range — close enough to sit, high enough to stand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Grab handle present and the aging adult knows it is there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Cargo space confirmed for current mobility equipment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Cargo space evaluated for NEXT likely stage (rollator, transport chair, scooter)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Load floor height assessed — low floor or liftgate reduces back strain</w:t>
      </w:r>
    </w:p>
    <w:p>
      <w:pPr>
        <w:spacing w:after="80" w:before="120"/>
      </w:pPr>
      <w:r>
        <w:rPr>
          <w:rFonts w:ascii="Arial" w:cs="Arial" w:eastAsia="Arial" w:hAnsi="Arial"/>
          <w:sz w:val="20"/>
          <w:szCs w:val="20"/>
        </w:rPr>
        <w:t xml:space="preserve">Concerns identified: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Equipment currently in the car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Standard folding walker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Rollator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Transport wheelchair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Portable car handle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O2 concentrator car charger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Hitch-mounted lift (for scooter or power wheelchair)</w:t>
      </w:r>
    </w:p>
    <w:p>
      <w:pPr>
        <w:spacing w:after="80" w:before="120"/>
      </w:pPr>
      <w:r>
        <w:rPr>
          <w:rFonts w:ascii="Arial" w:cs="Arial" w:eastAsia="Arial" w:hAnsi="Arial"/>
          <w:sz w:val="20"/>
          <w:szCs w:val="20"/>
        </w:rPr>
        <w:t xml:space="preserve">Equipment likely needed in the next 12 months: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2 — USING THEIR CAR</w:t>
      </w:r>
    </w:p>
    <w:p>
      <w:pPr>
        <w:spacing w:after="120"/>
      </w:pPr>
      <w:r>
        <w:rPr>
          <w:rFonts w:ascii="Arial" w:cs="Arial" w:eastAsia="Arial" w:hAnsi="Arial"/>
          <w:i/>
          <w:iCs/>
          <w:sz w:val="18"/>
          <w:szCs w:val="18"/>
        </w:rPr>
        <w:t xml:space="preserve">When the aging adult stops driving, their car may be better suited for transporting them than yours. Consider keeping it.</w:t>
      </w:r>
    </w:p>
    <w:p>
      <w:pPr>
        <w:spacing w:after="80" w:before="120"/>
      </w:pPr>
      <w:r>
        <w:rPr>
          <w:rFonts w:ascii="Arial" w:cs="Arial" w:eastAsia="Arial" w:hAnsi="Arial"/>
          <w:sz w:val="20"/>
          <w:szCs w:val="20"/>
        </w:rPr>
        <w:t xml:space="preserve">Decision: use their car / use caregiver's car / both:</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Vehicle discussed with financial POA and elder law attorney — date and outcome: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If transferring the vehicle into caregiver's name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Fair market value documented (Kelley Blue Book) and kept on file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Vehicle purchase from trust authorized by financial POA</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Title transferred at state DMV</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New registration obtained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Insurance transferred to caregiver's policy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Trust reimbursement arrangement confirmed with financial POA / accountant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Gas and maintenance running through designated non-medical trust account</w:t>
      </w:r>
    </w:p>
    <w:p>
      <w:pPr>
        <w:spacing w:after="80" w:before="120"/>
      </w:pPr>
      <w:r>
        <w:rPr>
          <w:rFonts w:ascii="Arial" w:cs="Arial" w:eastAsia="Arial" w:hAnsi="Arial"/>
          <w:sz w:val="20"/>
          <w:szCs w:val="20"/>
        </w:rPr>
        <w:t xml:space="preserve">Date looked up and value: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Insurer, policy #, and agent contact (after transfer):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Monthly premium and renewal date: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3 — DISABILITY PLACARD TRACKER</w:t>
      </w:r>
    </w:p>
    <w:p>
      <w:pPr>
        <w:spacing w:after="120"/>
      </w:pPr>
      <w:r>
        <w:rPr>
          <w:rFonts w:ascii="Arial" w:cs="Arial" w:eastAsia="Arial" w:hAnsi="Arial"/>
          <w:i/>
          <w:iCs/>
          <w:sz w:val="18"/>
          <w:szCs w:val="18"/>
        </w:rPr>
        <w:t xml:space="preserve">Disability license plates do not transfer with the vehicle when ownership changes. The solution is a hanging placard issued to the person — it works in any car.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Application submitted at state DMV in the aging adult's name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Healthcare provider certification obtained and submitted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Fee paid (typically under $25; free in some states)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Placard received and placed in the car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Plastic hang tag holder added to protect placard from wear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Renewal date noted and on the calendar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All caregivers know: hang the placard every trip, in every car</w:t>
      </w:r>
    </w:p>
    <w:p>
      <w:pPr>
        <w:spacing w:after="80" w:before="120"/>
      </w:pPr>
      <w:r>
        <w:rPr>
          <w:rFonts w:ascii="Arial" w:cs="Arial" w:eastAsia="Arial" w:hAnsi="Arial"/>
          <w:sz w:val="20"/>
          <w:szCs w:val="20"/>
        </w:rPr>
        <w:t xml:space="preserve">State, placard #, and expiration: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Issuing physician: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Calendar reminder set for (renewal requires physician re-certification):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4 — TRANSPORTATION ALTERNATIVES</w:t>
      </w:r>
    </w:p>
    <w:p>
      <w:pPr>
        <w:spacing w:after="120"/>
      </w:pPr>
      <w:r>
        <w:rPr>
          <w:rFonts w:ascii="Arial" w:cs="Arial" w:eastAsia="Arial" w:hAnsi="Arial"/>
          <w:i/>
          <w:iCs/>
          <w:sz w:val="18"/>
          <w:szCs w:val="18"/>
        </w:rPr>
        <w:t xml:space="preserve">Map out alternatives before you need them. The right backup depends on mobility level, geography, and the aging adult's willingness.</w:t>
      </w:r>
    </w:p>
    <w:p>
      <w:pPr>
        <w:spacing w:after="120" w:before="280"/>
      </w:pPr>
      <w:r>
        <w:rPr>
          <w:rFonts w:ascii="Arial" w:cs="Arial" w:eastAsia="Arial" w:hAnsi="Arial"/>
          <w:b/>
          <w:bCs/>
          <w:sz w:val="22"/>
          <w:szCs w:val="22"/>
        </w:rPr>
        <w:t xml:space="preserve">GoGoGrandparent or phone-based ride service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Aging adult can manage their own entry and exit in a standard car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Account set up — caregiver manages from app</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Notifications enabled so caregiver is alerted when car arrives and trip completes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Test trip completed before using for a real appointment</w:t>
      </w:r>
    </w:p>
    <w:p>
      <w:pPr>
        <w:spacing w:after="80" w:before="120"/>
      </w:pPr>
      <w:r>
        <w:rPr>
          <w:rFonts w:ascii="Arial" w:cs="Arial" w:eastAsia="Arial" w:hAnsi="Arial"/>
          <w:sz w:val="20"/>
          <w:szCs w:val="20"/>
        </w:rPr>
        <w:t xml:space="preserve">Phone and account login: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Non-Emergency Medical Transportation (NEMT)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Medicare Advantage plan checked for transportation benefit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Medicaid plan checked if applicable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VA eligibility checked if veteran</w:t>
      </w:r>
    </w:p>
    <w:p>
      <w:pPr>
        <w:spacing w:after="80" w:before="120"/>
      </w:pPr>
      <w:r>
        <w:rPr>
          <w:rFonts w:ascii="Arial" w:cs="Arial" w:eastAsia="Arial" w:hAnsi="Arial"/>
          <w:sz w:val="20"/>
          <w:szCs w:val="20"/>
        </w:rPr>
        <w:t xml:space="preserve">Plan / provider and benefit confirmed (Y/N/Unknown):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How to schedule and lead time required: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Types of trips covered: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Local volunteer driver program</w:t>
      </w:r>
    </w:p>
    <w:p>
      <w:pPr>
        <w:spacing w:after="80" w:before="120"/>
      </w:pPr>
      <w:r>
        <w:rPr>
          <w:rFonts w:ascii="Arial" w:cs="Arial" w:eastAsia="Arial" w:hAnsi="Arial"/>
          <w:sz w:val="20"/>
          <w:szCs w:val="20"/>
        </w:rPr>
        <w:t xml:space="preserve">Program name and contact: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Types of trips and cost: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ind w:left="280"/>
      </w:pPr>
      <w:r>
        <w:rPr>
          <w:rFonts w:ascii="Arial" w:cs="Arial" w:eastAsia="Arial" w:hAnsi="Arial"/>
          <w:sz w:val="22"/>
          <w:szCs w:val="22"/>
        </w:rPr>
        <w:t xml:space="preserve">☐   </w:t>
      </w:r>
      <w:r>
        <w:rPr>
          <w:rFonts w:ascii="Arial" w:cs="Arial" w:eastAsia="Arial" w:hAnsi="Arial"/>
          <w:sz w:val="20"/>
          <w:szCs w:val="20"/>
        </w:rPr>
        <w:t xml:space="preserve">Program reached via Area Agency on Aging (eldercare.acl.gov or 1-800-677-1116)</w:t>
      </w:r>
    </w:p>
    <w:p>
      <w:pPr>
        <w:spacing w:after="120" w:before="280"/>
      </w:pPr>
      <w:r>
        <w:rPr>
          <w:rFonts w:ascii="Arial" w:cs="Arial" w:eastAsia="Arial" w:hAnsi="Arial"/>
          <w:b/>
          <w:bCs/>
          <w:sz w:val="22"/>
          <w:szCs w:val="22"/>
        </w:rPr>
        <w:t xml:space="preserve">Family / friend driving network</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3024"/>
        <w:gridCol w:w="4032"/>
      </w:tblGrid>
      <w:tr>
        <w:trPr>
          <w:tblHeader/>
        </w:trP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Available</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Vehicle Type</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Forward-looking questions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Is a wheelchair or scooter likely in the next 12 months? If yes: does the current vehicle accommodate it? What's the plan if it doesn't?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Does the aging adult's insurance plan cover NEMT? How do we access it?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What volunteer driver resources exist in this community?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Who is the backup driver when the primary can't go?</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What is the handoff plan when the current informal arrangement ends?</w:t>
      </w:r>
    </w:p>
    <w:p>
      <w:pPr>
        <w:pBdr>
          <w:top w:val="single" w:color="000000" w:sz="6" w:space="8"/>
        </w:pBdr>
        <w:spacing w:after="140" w:before="360"/>
      </w:pPr>
      <w:r>
        <w:rPr>
          <w:rFonts w:ascii="Arial" w:cs="Arial" w:eastAsia="Arial" w:hAnsi="Arial"/>
          <w:b/>
          <w:bCs/>
          <w:sz w:val="24"/>
          <w:szCs w:val="24"/>
        </w:rPr>
        <w:t xml:space="preserve">NOTES</w:t>
      </w:r>
    </w:p>
    <w:p>
      <w:pPr>
        <w:spacing w:after="80" w:before="120"/>
      </w:pPr>
      <w:r>
        <w:rPr>
          <w:rFonts w:ascii="Arial" w:cs="Arial" w:eastAsia="Arial" w:hAnsi="Arial"/>
          <w:sz w:val="20"/>
          <w:szCs w:val="20"/>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3326"/>
        <w:gridCol w:w="3327"/>
      </w:tblGrid>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Completed by</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Next review</w:t>
            </w:r>
          </w:p>
        </w:tc>
      </w:tr>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2026-05-05T21:30:17.430Z</dcterms:created>
  <dcterms:modified xsi:type="dcterms:W3CDTF">2026-05-05T21:30:17.430Z</dcterms:modified>
</cp:coreProperties>
</file>

<file path=docProps/custom.xml><?xml version="1.0" encoding="utf-8"?>
<Properties xmlns="http://schemas.openxmlformats.org/officeDocument/2006/custom-properties" xmlns:vt="http://schemas.openxmlformats.org/officeDocument/2006/docPropsVTypes"/>
</file>